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801" w:tblpY="292"/>
        <w:tblOverlap w:val="never"/>
        <w:tblW w:w="8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2350"/>
        <w:gridCol w:w="2746"/>
        <w:gridCol w:w="1415"/>
        <w:gridCol w:w="14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6"/>
                <w:szCs w:val="36"/>
                <w:u w:val="none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  <w:t>2013年度四川省风景园林优秀设计奖金奖公示名单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“汉郡东方”景观工程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成都置信·逸景苑景观项目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阆中市滨江生态文化走廊西北段防洪堤绿化景观工程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00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6"/>
                <w:szCs w:val="36"/>
                <w:u w:val="none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  <w:t>2013年度四川省风景园林优秀设计奖银奖公示名单</w:t>
            </w:r>
          </w:p>
        </w:tc>
        <w:tc>
          <w:tcPr>
            <w:tcW w:w="14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芙蓉青城B区景观项目</w:t>
            </w:r>
          </w:p>
        </w:tc>
        <w:tc>
          <w:tcPr>
            <w:tcW w:w="274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“新大·托斯卡那”工程园林景观设计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双流县教育局棠湖中学迁建项目景观规划设计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首创·成南郡二期、新一期及售楼部园林景观工程设计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广东汶川工业园道路绿化工程设计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成都环美园林生态有限公司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成都携程信息技术大楼工程景观设计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岳池县会展中心周边景观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成都环美园林生态有限公司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（需补充申报材）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5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岳池余家河滨河景观设计方案</w:t>
            </w:r>
          </w:p>
        </w:tc>
        <w:tc>
          <w:tcPr>
            <w:tcW w:w="274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（暂缓评审）</w:t>
            </w:r>
          </w:p>
        </w:tc>
        <w:tc>
          <w:tcPr>
            <w:tcW w:w="141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6049F"/>
    <w:rsid w:val="2A360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2017-05-17T07:57:00Z</dcterms:created>
  <dc:creator>user390</dc:creator>
  <cp:lastModifiedBy>user390</cp:lastModifiedBy>
  <dcterms:modified xsi:type="dcterms:W3CDTF">2017-05-17T07:58:12Z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